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spacing w:after="0" w:before="0"/>
      </w:pPr>
      <w:r>
        <w:rPr>
          <w:b/>
          <w:i w:val="0"/>
          <w:color w:val="646464"/>
          <w:sz w:val="18"/>
        </w:rPr>
        <w:t>SOLUTION BRIEF</w:t>
      </w:r>
    </w:p>
    <w:p>
      <w:pPr>
        <w:spacing w:after="40" w:before="0"/>
      </w:pPr>
      <w:r>
        <w:rPr>
          <w:b/>
          <w:i w:val="0"/>
          <w:color w:val="1B3A5C"/>
          <w:sz w:val="32"/>
        </w:rPr>
        <w:t>HailBytes Cloud Support Hub</w:t>
      </w:r>
    </w:p>
    <w:p>
      <w:pPr>
        <w:spacing w:after="160" w:before="0"/>
      </w:pPr>
      <w:r>
        <w:rPr>
          <w:b w:val="0"/>
          <w:i/>
          <w:color w:val="646464"/>
          <w:sz w:val="18"/>
        </w:rPr>
        <w:t>SaaS Support Portal  ·  Azure Marketplace  ·  Entra ID Integration</w:t>
      </w:r>
    </w:p>
    <w:p>
      <w:pPr>
        <w:spacing w:after="40" w:before="80"/>
      </w:pPr>
      <w:r>
        <w:rPr>
          <w:b/>
          <w:i w:val="0"/>
          <w:color w:val="1B3A5C"/>
          <w:sz w:val="20"/>
        </w:rPr>
        <w:t>THE PROBLEM</w:t>
      </w:r>
    </w:p>
    <w:p>
      <w:pPr>
        <w:spacing w:after="120" w:before="0"/>
      </w:pPr>
      <w:r>
        <w:rPr>
          <w:b w:val="0"/>
          <w:i w:val="0"/>
          <w:sz w:val="19"/>
        </w:rPr>
        <w:t>Security tooling deployed in a customer's own cloud tenant is only as valuable as its operational reliability. When a phishing campaign fails to send, a scan pipeline stalls, or a vulnerability finding needs expert interpretation, security teams need a responsive, structured support channel — not a GitHub issue queue. Without SLA-backed support, even well-architected tools become liabilities in production.</w:t>
      </w:r>
    </w:p>
    <w:p>
      <w:pPr>
        <w:spacing w:after="40" w:before="80"/>
      </w:pPr>
      <w:r>
        <w:rPr>
          <w:b/>
          <w:i w:val="0"/>
          <w:color w:val="1B3A5C"/>
          <w:sz w:val="20"/>
        </w:rPr>
        <w:t>THE SOLUTION</w:t>
      </w:r>
    </w:p>
    <w:p>
      <w:pPr>
        <w:spacing w:after="120" w:before="0"/>
      </w:pPr>
      <w:r>
        <w:rPr>
          <w:b w:val="0"/>
          <w:i w:val="0"/>
          <w:sz w:val="19"/>
        </w:rPr>
        <w:t>HailBytes Cloud Support Hub is a SaaS support portal available directly on Azure Marketplace. It provides structured, SLA-backed technical support for all HailBytes products with native Microsoft Entra ID SSO. Encrypted ticket storage, file attachments, knowledge base access, and SLA tracking are all included. A free tier is bundled with every HailBytes marketplace deployment.</w:t>
      </w:r>
    </w:p>
    <w:p>
      <w:pPr>
        <w:spacing w:after="40" w:before="80"/>
      </w:pPr>
      <w:r>
        <w:rPr>
          <w:b/>
          <w:i w:val="0"/>
          <w:color w:val="1B3A5C"/>
          <w:sz w:val="20"/>
        </w:rPr>
        <w:t>KEY BENEFITS</w:t>
      </w:r>
    </w:p>
    <w:p>
      <w:pPr>
        <w:pStyle w:val="ListBullet"/>
        <w:spacing w:after="40"/>
      </w:pPr>
      <w:r>
        <w:rPr>
          <w:b/>
          <w:sz w:val="19"/>
        </w:rPr>
        <w:t>Entra ID SSO built in.</w:t>
      </w:r>
      <w:r>
        <w:rPr>
          <w:sz w:val="19"/>
        </w:rPr>
        <w:t xml:space="preserve"> No new accounts, no new passwords. Azure AD customers authenticate instantly.</w:t>
      </w:r>
    </w:p>
    <w:p>
      <w:pPr>
        <w:pStyle w:val="ListBullet"/>
        <w:spacing w:after="40"/>
      </w:pPr>
      <w:r>
        <w:rPr>
          <w:b/>
          <w:sz w:val="19"/>
        </w:rPr>
        <w:t>Counts toward Azure MACC.</w:t>
      </w:r>
      <w:r>
        <w:rPr>
          <w:sz w:val="19"/>
        </w:rPr>
        <w:t xml:space="preserve"> Native Azure Marketplace offering — every dollar draws down Microsoft Azure Consumption Commitments.</w:t>
      </w:r>
    </w:p>
    <w:p>
      <w:pPr>
        <w:pStyle w:val="ListBullet"/>
        <w:spacing w:after="40"/>
      </w:pPr>
      <w:r>
        <w:rPr>
          <w:b/>
          <w:sz w:val="19"/>
        </w:rPr>
        <w:t>Dedicated engineering at Enterprise tier.</w:t>
      </w:r>
      <w:r>
        <w:rPr>
          <w:sz w:val="19"/>
        </w:rPr>
        <w:t xml:space="preserve"> Enterprise subscribers receive a dedicated HailBytes engineer for 10 hours/month — architecture reviews, custom integrations, executive escalations.</w:t>
      </w:r>
    </w:p>
    <w:p>
      <w:pPr>
        <w:pStyle w:val="ListBullet"/>
        <w:spacing w:after="40"/>
      </w:pPr>
      <w:r>
        <w:rPr>
          <w:b/>
          <w:sz w:val="19"/>
        </w:rPr>
        <w:t>Unified across the HailBytes portfolio.</w:t>
      </w:r>
      <w:r>
        <w:rPr>
          <w:sz w:val="19"/>
        </w:rPr>
        <w:t xml:space="preserve"> One portal supports GoPhish Cloud, reNgine Cloud, and all future HailBytes products.</w:t>
      </w:r>
    </w:p>
    <w:p>
      <w:pPr>
        <w:spacing w:after="80" w:before="160"/>
      </w:pPr>
      <w:r>
        <w:rPr>
          <w:b/>
          <w:i w:val="0"/>
          <w:color w:val="1B3A5C"/>
          <w:sz w:val="20"/>
        </w:rPr>
        <w:t>PRICING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1662"/>
        <w:gridCol w:w="1662"/>
        <w:gridCol w:w="1662"/>
        <w:gridCol w:w="1662"/>
        <w:gridCol w:w="1662"/>
        <w:gridCol w:w="1662"/>
      </w:tblGrid>
      <w:tr>
        <w:tc>
          <w:tcPr>
            <w:tcW w:type="dxa" w:w="1662"/>
            <w:shd w:fill="1B3A5C" w:val="clear"/>
          </w:tcPr>
          <w:p>
            <w:r/>
            <w:r>
              <w:rPr>
                <w:b/>
                <w:color w:val="FFFFFF"/>
                <w:sz w:val="18"/>
              </w:rPr>
              <w:t>Tier</w:t>
            </w:r>
          </w:p>
        </w:tc>
        <w:tc>
          <w:tcPr>
            <w:tcW w:type="dxa" w:w="1662"/>
            <w:shd w:fill="1B3A5C" w:val="clear"/>
          </w:tcPr>
          <w:p>
            <w:r/>
            <w:r>
              <w:rPr>
                <w:b/>
                <w:color w:val="FFFFFF"/>
                <w:sz w:val="18"/>
              </w:rPr>
              <w:t>Monthly</w:t>
            </w:r>
          </w:p>
        </w:tc>
        <w:tc>
          <w:tcPr>
            <w:tcW w:type="dxa" w:w="1662"/>
            <w:shd w:fill="1B3A5C" w:val="clear"/>
          </w:tcPr>
          <w:p>
            <w:r/>
            <w:r>
              <w:rPr>
                <w:b/>
                <w:color w:val="FFFFFF"/>
                <w:sz w:val="18"/>
              </w:rPr>
              <w:t>SLA</w:t>
            </w:r>
          </w:p>
        </w:tc>
        <w:tc>
          <w:tcPr>
            <w:tcW w:type="dxa" w:w="1662"/>
            <w:shd w:fill="1B3A5C" w:val="clear"/>
          </w:tcPr>
          <w:p>
            <w:r/>
            <w:r>
              <w:rPr>
                <w:b/>
                <w:color w:val="FFFFFF"/>
                <w:sz w:val="18"/>
              </w:rPr>
              <w:t>Seats</w:t>
            </w:r>
          </w:p>
        </w:tc>
        <w:tc>
          <w:tcPr>
            <w:tcW w:type="dxa" w:w="1662"/>
            <w:shd w:fill="1B3A5C" w:val="clear"/>
          </w:tcPr>
          <w:p>
            <w:r/>
            <w:r>
              <w:rPr>
                <w:b/>
                <w:color w:val="FFFFFF"/>
                <w:sz w:val="18"/>
              </w:rPr>
              <w:t>Tickets/Mo</w:t>
            </w:r>
          </w:p>
        </w:tc>
        <w:tc>
          <w:tcPr>
            <w:tcW w:type="dxa" w:w="1662"/>
            <w:shd w:fill="1B3A5C" w:val="clear"/>
          </w:tcPr>
          <w:p>
            <w:r/>
            <w:r>
              <w:rPr>
                <w:b/>
                <w:color w:val="FFFFFF"/>
                <w:sz w:val="18"/>
              </w:rPr>
              <w:t>Highlights</w:t>
            </w:r>
          </w:p>
        </w:tc>
      </w:tr>
      <w:tr>
        <w:tc>
          <w:tcPr>
            <w:tcW w:type="dxa" w:w="1662"/>
          </w:tcPr>
          <w:p>
            <w:r/>
            <w:r>
              <w:rPr>
                <w:sz w:val="18"/>
              </w:rPr>
              <w:t>Free</w:t>
            </w:r>
          </w:p>
        </w:tc>
        <w:tc>
          <w:tcPr>
            <w:tcW w:type="dxa" w:w="1662"/>
          </w:tcPr>
          <w:p>
            <w:r/>
            <w:r>
              <w:rPr>
                <w:sz w:val="18"/>
              </w:rPr>
              <w:t>$0</w:t>
            </w:r>
          </w:p>
        </w:tc>
        <w:tc>
          <w:tcPr>
            <w:tcW w:type="dxa" w:w="1662"/>
          </w:tcPr>
          <w:p>
            <w:r/>
            <w:r>
              <w:rPr>
                <w:sz w:val="18"/>
              </w:rPr>
              <w:t>Best effort</w:t>
            </w:r>
          </w:p>
        </w:tc>
        <w:tc>
          <w:tcPr>
            <w:tcW w:type="dxa" w:w="1662"/>
          </w:tcPr>
          <w:p>
            <w:r/>
            <w:r>
              <w:rPr>
                <w:sz w:val="18"/>
              </w:rPr>
              <w:t>1</w:t>
            </w:r>
          </w:p>
        </w:tc>
        <w:tc>
          <w:tcPr>
            <w:tcW w:type="dxa" w:w="1662"/>
          </w:tcPr>
          <w:p>
            <w:r/>
            <w:r>
              <w:rPr>
                <w:sz w:val="18"/>
              </w:rPr>
              <w:t>2</w:t>
            </w:r>
          </w:p>
        </w:tc>
        <w:tc>
          <w:tcPr>
            <w:tcW w:type="dxa" w:w="1662"/>
          </w:tcPr>
          <w:p>
            <w:r/>
            <w:r>
              <w:rPr>
                <w:sz w:val="18"/>
              </w:rPr>
              <w:t>Docs, community resources</w:t>
            </w:r>
          </w:p>
        </w:tc>
      </w:tr>
      <w:tr>
        <w:tc>
          <w:tcPr>
            <w:tcW w:type="dxa" w:w="1662"/>
            <w:shd w:fill="EDF2F7" w:val="clear"/>
          </w:tcPr>
          <w:p>
            <w:r/>
            <w:r>
              <w:rPr>
                <w:sz w:val="18"/>
              </w:rPr>
              <w:t>Professional</w:t>
            </w:r>
          </w:p>
        </w:tc>
        <w:tc>
          <w:tcPr>
            <w:tcW w:type="dxa" w:w="1662"/>
            <w:shd w:fill="EDF2F7" w:val="clear"/>
          </w:tcPr>
          <w:p>
            <w:r/>
            <w:r>
              <w:rPr>
                <w:sz w:val="18"/>
              </w:rPr>
              <w:t>$550</w:t>
            </w:r>
          </w:p>
        </w:tc>
        <w:tc>
          <w:tcPr>
            <w:tcW w:type="dxa" w:w="1662"/>
            <w:shd w:fill="EDF2F7" w:val="clear"/>
          </w:tcPr>
          <w:p>
            <w:r/>
            <w:r>
              <w:rPr>
                <w:sz w:val="18"/>
              </w:rPr>
              <w:t>72 hr (Mon–Fri)</w:t>
            </w:r>
          </w:p>
        </w:tc>
        <w:tc>
          <w:tcPr>
            <w:tcW w:type="dxa" w:w="1662"/>
            <w:shd w:fill="EDF2F7" w:val="clear"/>
          </w:tcPr>
          <w:p>
            <w:r/>
            <w:r>
              <w:rPr>
                <w:sz w:val="18"/>
              </w:rPr>
              <w:t>3</w:t>
            </w:r>
          </w:p>
        </w:tc>
        <w:tc>
          <w:tcPr>
            <w:tcW w:type="dxa" w:w="1662"/>
            <w:shd w:fill="EDF2F7" w:val="clear"/>
          </w:tcPr>
          <w:p>
            <w:r/>
            <w:r>
              <w:rPr>
                <w:sz w:val="18"/>
              </w:rPr>
              <w:t>10</w:t>
            </w:r>
          </w:p>
        </w:tc>
        <w:tc>
          <w:tcPr>
            <w:tcW w:type="dxa" w:w="1662"/>
            <w:shd w:fill="EDF2F7" w:val="clear"/>
          </w:tcPr>
          <w:p>
            <w:r/>
            <w:r>
              <w:rPr>
                <w:sz w:val="18"/>
              </w:rPr>
              <w:t>Slack, phone, monthly check-in</w:t>
            </w:r>
          </w:p>
        </w:tc>
      </w:tr>
      <w:tr>
        <w:tc>
          <w:tcPr>
            <w:tcW w:type="dxa" w:w="1662"/>
          </w:tcPr>
          <w:p>
            <w:r/>
            <w:r>
              <w:rPr>
                <w:sz w:val="18"/>
              </w:rPr>
              <w:t>Enterprise</w:t>
            </w:r>
          </w:p>
        </w:tc>
        <w:tc>
          <w:tcPr>
            <w:tcW w:type="dxa" w:w="1662"/>
          </w:tcPr>
          <w:p>
            <w:r/>
            <w:r>
              <w:rPr>
                <w:sz w:val="18"/>
              </w:rPr>
              <w:t>$1,650</w:t>
            </w:r>
          </w:p>
        </w:tc>
        <w:tc>
          <w:tcPr>
            <w:tcW w:type="dxa" w:w="1662"/>
          </w:tcPr>
          <w:p>
            <w:r/>
            <w:r>
              <w:rPr>
                <w:sz w:val="18"/>
              </w:rPr>
              <w:t>4 hr (24/7/365)</w:t>
            </w:r>
          </w:p>
        </w:tc>
        <w:tc>
          <w:tcPr>
            <w:tcW w:type="dxa" w:w="1662"/>
          </w:tcPr>
          <w:p>
            <w:r/>
            <w:r>
              <w:rPr>
                <w:sz w:val="18"/>
              </w:rPr>
              <w:t>10</w:t>
            </w:r>
          </w:p>
        </w:tc>
        <w:tc>
          <w:tcPr>
            <w:tcW w:type="dxa" w:w="1662"/>
          </w:tcPr>
          <w:p>
            <w:r/>
            <w:r>
              <w:rPr>
                <w:sz w:val="18"/>
              </w:rPr>
              <w:t>30</w:t>
            </w:r>
          </w:p>
        </w:tc>
        <w:tc>
          <w:tcPr>
            <w:tcW w:type="dxa" w:w="1662"/>
          </w:tcPr>
          <w:p>
            <w:r/>
            <w:r>
              <w:rPr>
                <w:sz w:val="18"/>
              </w:rPr>
              <w:t>Dedicated engineer, custom integrations</w:t>
            </w:r>
          </w:p>
        </w:tc>
      </w:tr>
    </w:tbl>
    <w:p/>
    <w:p>
      <w:pPr>
        <w:spacing w:after="160" w:before="0"/>
      </w:pPr>
      <w:r>
        <w:rPr>
          <w:b w:val="0"/>
          <w:i w:val="0"/>
          <w:color w:val="646464"/>
          <w:sz w:val="18"/>
        </w:rPr>
        <w:t>18% annual commitment discount available on both Azure and AWS Marketplace.</w:t>
      </w:r>
    </w:p>
    <w:p>
      <w:pPr>
        <w:spacing w:after="80" w:before="80"/>
        <w:jc w:val="center"/>
      </w:pPr>
      <w:r>
        <w:rPr>
          <w:b/>
          <w:i w:val="0"/>
          <w:color w:val="1B3A5C"/>
          <w:sz w:val="20"/>
        </w:rPr>
        <w:t>Start free at support.hailbytes.com — SSO with your Entra ID. Upgrade via Azure Marketplace — search "HailBytes Cloud Support Hub".</w:t>
      </w:r>
    </w:p>
    <w:p>
      <w:pPr>
        <w:spacing w:after="0" w:before="160"/>
        <w:jc w:val="center"/>
      </w:pPr>
      <w:r>
        <w:rPr>
          <w:b/>
          <w:i w:val="0"/>
          <w:color w:val="1B3A5C"/>
          <w:sz w:val="18"/>
        </w:rPr>
        <w:t>sales@hailbytes.com  |  hailbytes.com  |  Azure Marketplace: search "HailBytes"</w:t>
      </w:r>
    </w:p>
    <w:sectPr w:rsidR="00FC693F" w:rsidRPr="0006063C" w:rsidSect="00034616">
      <w:pgSz w:w="12240" w:h="15840"/>
      <w:pgMar w:top="850" w:right="1134" w:bottom="850" w:left="113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/>
      <w:sz w:val="20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