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 w:before="0"/>
      </w:pPr>
      <w:r>
        <w:rPr>
          <w:b/>
          <w:i w:val="0"/>
          <w:color w:val="646464"/>
          <w:sz w:val="18"/>
        </w:rPr>
        <w:t>CUSTOMER CASE STUDY TEMPLATE</w:t>
      </w:r>
    </w:p>
    <w:p>
      <w:pPr>
        <w:spacing w:after="40" w:before="0"/>
      </w:pPr>
      <w:r>
        <w:rPr>
          <w:b/>
          <w:i w:val="0"/>
          <w:color w:val="1B3A5C"/>
          <w:sz w:val="32"/>
        </w:rPr>
        <w:t>HailBytes — Reusable Template</w:t>
      </w:r>
    </w:p>
    <w:p>
      <w:pPr>
        <w:spacing w:after="200" w:before="0"/>
      </w:pPr>
      <w:r>
        <w:rPr>
          <w:b w:val="0"/>
          <w:i/>
          <w:color w:val="646464"/>
          <w:sz w:val="18"/>
        </w:rPr>
        <w:t>Instructions: Replace all [bracketed placeholders] with real customer data. Red-italicized text indicates fill-in fields.</w:t>
      </w:r>
    </w:p>
    <w:p>
      <w:pPr>
        <w:spacing w:after="40" w:before="0"/>
        <w:jc w:val="center"/>
      </w:pPr>
      <w:r>
        <w:rPr>
          <w:b/>
          <w:i w:val="0"/>
          <w:color w:val="B44646"/>
          <w:sz w:val="22"/>
        </w:rPr>
        <w:t>[CUSTOMER LOGO PLACEHOLDER]</w:t>
      </w:r>
    </w:p>
    <w:p>
      <w:pPr>
        <w:spacing w:after="40" w:before="0"/>
        <w:jc w:val="center"/>
      </w:pPr>
      <w:r>
        <w:rPr>
          <w:b/>
          <w:i w:val="0"/>
          <w:color w:val="1B3A5C"/>
          <w:sz w:val="28"/>
        </w:rPr>
        <w:t>How [Customer Name] [Achieved Outcome]</w:t>
      </w:r>
    </w:p>
    <w:p>
      <w:pPr>
        <w:spacing w:after="200" w:before="0"/>
        <w:jc w:val="center"/>
      </w:pPr>
      <w:r>
        <w:rPr>
          <w:b w:val="0"/>
          <w:i/>
          <w:color w:val="646464"/>
          <w:sz w:val="20"/>
        </w:rPr>
        <w:t>Customer Story — HailBytes [Product(s)]</w:t>
      </w:r>
    </w:p>
    <w:p>
      <w:pPr>
        <w:spacing w:after="80" w:before="120"/>
      </w:pPr>
      <w:r>
        <w:rPr>
          <w:b/>
          <w:i w:val="0"/>
          <w:color w:val="1B3A5C"/>
          <w:sz w:val="22"/>
        </w:rPr>
        <w:t>CUSTOMER PROFILE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873"/>
        <w:gridCol w:w="4873"/>
      </w:tblGrid>
      <w:tr>
        <w:tc>
          <w:tcPr>
            <w:tcW w:type="dxa" w:w="4873"/>
            <w:shd w:fill="1B3A5C" w:val="clear"/>
          </w:tcPr>
          <w:p>
            <w:r/>
            <w:r>
              <w:rPr>
                <w:b/>
                <w:color w:val="FFFFFF"/>
                <w:sz w:val="18"/>
              </w:rPr>
              <w:t>Field</w:t>
            </w:r>
          </w:p>
        </w:tc>
        <w:tc>
          <w:tcPr>
            <w:tcW w:type="dxa" w:w="4873"/>
            <w:shd w:fill="1B3A5C" w:val="clear"/>
          </w:tcPr>
          <w:p>
            <w:r/>
            <w:r>
              <w:rPr>
                <w:b/>
                <w:color w:val="FFFFFF"/>
                <w:sz w:val="18"/>
              </w:rPr>
              <w:t>Details</w:t>
            </w:r>
          </w:p>
        </w:tc>
      </w:tr>
      <w:tr>
        <w:tc>
          <w:tcPr>
            <w:tcW w:type="dxa" w:w="4873"/>
          </w:tcPr>
          <w:p>
            <w:r/>
            <w:r>
              <w:rPr>
                <w:sz w:val="18"/>
              </w:rPr>
              <w:t>Company</w:t>
            </w:r>
          </w:p>
        </w:tc>
        <w:tc>
          <w:tcPr>
            <w:tcW w:type="dxa" w:w="4873"/>
          </w:tcPr>
          <w:p>
            <w:r/>
            <w:r>
              <w:rPr>
                <w:sz w:val="18"/>
              </w:rPr>
              <w:t>[Customer Name]</w:t>
            </w:r>
          </w:p>
        </w:tc>
      </w:tr>
      <w:tr>
        <w:tc>
          <w:tcPr>
            <w:tcW w:type="dxa" w:w="4873"/>
            <w:shd w:fill="EDF2F7" w:val="clear"/>
          </w:tcPr>
          <w:p>
            <w:r/>
            <w:r>
              <w:rPr>
                <w:sz w:val="18"/>
              </w:rPr>
              <w:t>Industry</w:t>
            </w:r>
          </w:p>
        </w:tc>
        <w:tc>
          <w:tcPr>
            <w:tcW w:type="dxa" w:w="4873"/>
            <w:shd w:fill="EDF2F7" w:val="clear"/>
          </w:tcPr>
          <w:p>
            <w:r/>
            <w:r>
              <w:rPr>
                <w:sz w:val="18"/>
              </w:rPr>
              <w:t>[e.g., Financial Services / Healthcare / Manufacturing / Technology]</w:t>
            </w:r>
          </w:p>
        </w:tc>
      </w:tr>
      <w:tr>
        <w:tc>
          <w:tcPr>
            <w:tcW w:type="dxa" w:w="4873"/>
          </w:tcPr>
          <w:p>
            <w:r/>
            <w:r>
              <w:rPr>
                <w:sz w:val="18"/>
              </w:rPr>
              <w:t>Size</w:t>
            </w:r>
          </w:p>
        </w:tc>
        <w:tc>
          <w:tcPr>
            <w:tcW w:type="dxa" w:w="4873"/>
          </w:tcPr>
          <w:p>
            <w:r/>
            <w:r>
              <w:rPr>
                <w:sz w:val="18"/>
              </w:rPr>
              <w:t>[e.g., 850 employees, 3 offices]</w:t>
            </w:r>
          </w:p>
        </w:tc>
      </w:tr>
      <w:tr>
        <w:tc>
          <w:tcPr>
            <w:tcW w:type="dxa" w:w="4873"/>
            <w:shd w:fill="EDF2F7" w:val="clear"/>
          </w:tcPr>
          <w:p>
            <w:r/>
            <w:r>
              <w:rPr>
                <w:sz w:val="18"/>
              </w:rPr>
              <w:t>Azure/AWS Relationship</w:t>
            </w:r>
          </w:p>
        </w:tc>
        <w:tc>
          <w:tcPr>
            <w:tcW w:type="dxa" w:w="4873"/>
            <w:shd w:fill="EDF2F7" w:val="clear"/>
          </w:tcPr>
          <w:p>
            <w:r/>
            <w:r>
              <w:rPr>
                <w:sz w:val="18"/>
              </w:rPr>
              <w:t>[e.g., Azure EA customer since XXXX]</w:t>
            </w:r>
          </w:p>
        </w:tc>
      </w:tr>
      <w:tr>
        <w:tc>
          <w:tcPr>
            <w:tcW w:type="dxa" w:w="4873"/>
          </w:tcPr>
          <w:p>
            <w:r/>
            <w:r>
              <w:rPr>
                <w:sz w:val="18"/>
              </w:rPr>
              <w:t>Use Case</w:t>
            </w:r>
          </w:p>
        </w:tc>
        <w:tc>
          <w:tcPr>
            <w:tcW w:type="dxa" w:w="4873"/>
          </w:tcPr>
          <w:p>
            <w:r/>
            <w:r>
              <w:rPr>
                <w:sz w:val="18"/>
              </w:rPr>
              <w:t>[e.g., Phishing simulation + attack surface monitoring]</w:t>
            </w:r>
          </w:p>
        </w:tc>
      </w:tr>
      <w:tr>
        <w:tc>
          <w:tcPr>
            <w:tcW w:type="dxa" w:w="4873"/>
            <w:shd w:fill="EDF2F7" w:val="clear"/>
          </w:tcPr>
          <w:p>
            <w:r/>
            <w:r>
              <w:rPr>
                <w:sz w:val="18"/>
              </w:rPr>
              <w:t>Products Deployed</w:t>
            </w:r>
          </w:p>
        </w:tc>
        <w:tc>
          <w:tcPr>
            <w:tcW w:type="dxa" w:w="4873"/>
            <w:shd w:fill="EDF2F7" w:val="clear"/>
          </w:tcPr>
          <w:p>
            <w:r/>
            <w:r>
              <w:rPr>
                <w:sz w:val="18"/>
              </w:rPr>
              <w:t>[e.g., GoPhish Cloud + reNgine Cloud + Cloud Support Hub]</w:t>
            </w:r>
          </w:p>
        </w:tc>
      </w:tr>
    </w:tbl>
    <w:p/>
    <w:p>
      <w:pPr>
        <w:spacing w:after="80" w:before="120"/>
      </w:pPr>
      <w:r>
        <w:rPr>
          <w:b/>
          <w:i w:val="0"/>
          <w:color w:val="1B3A5C"/>
          <w:sz w:val="22"/>
        </w:rPr>
        <w:t>THE CHALLENGE</w:t>
      </w:r>
    </w:p>
    <w:p>
      <w:pPr>
        <w:spacing w:after="80" w:before="0"/>
      </w:pPr>
      <w:r>
        <w:rPr>
          <w:b w:val="0"/>
          <w:i/>
          <w:color w:val="B44646"/>
          <w:sz w:val="19"/>
        </w:rPr>
        <w:t>[Customer Name] faced [describe the core security problem — e.g., lack of visibility into external attack surface, high phishing click rates, compliance requirements, manual recon processes].</w:t>
      </w:r>
    </w:p>
    <w:p>
      <w:pPr>
        <w:spacing w:after="40" w:before="0"/>
      </w:pPr>
      <w:r>
        <w:rPr>
          <w:b/>
          <w:i w:val="0"/>
          <w:sz w:val="19"/>
        </w:rPr>
        <w:t>Specifically:</w:t>
      </w:r>
    </w:p>
    <w:p>
      <w:pPr>
        <w:pStyle w:val="ListBullet"/>
        <w:spacing w:after="40"/>
      </w:pPr>
      <w:r>
        <w:rPr>
          <w:sz w:val="19"/>
        </w:rPr>
        <w:t>[Pain point 1 — e.g., "No continuous monitoring of external-facing assets across acquired subsidiaries"]</w:t>
      </w:r>
    </w:p>
    <w:p>
      <w:pPr>
        <w:pStyle w:val="ListBullet"/>
        <w:spacing w:after="40"/>
      </w:pPr>
      <w:r>
        <w:rPr>
          <w:sz w:val="19"/>
        </w:rPr>
        <w:t>[Pain point 2 — e.g., "Annual phishing simulation vendor costing $38,000/year with per-seat pricing"]</w:t>
      </w:r>
    </w:p>
    <w:p>
      <w:pPr>
        <w:pStyle w:val="ListBullet"/>
        <w:spacing w:after="40"/>
      </w:pPr>
      <w:r>
        <w:rPr>
          <w:sz w:val="19"/>
        </w:rPr>
        <w:t>[Pain point 3 — e.g., "Compliance requirement to document SAT outcomes for SOC 2 Type II audit"]</w:t>
      </w:r>
    </w:p>
    <w:p>
      <w:pPr>
        <w:spacing w:after="80" w:before="0"/>
      </w:pPr>
      <w:r>
        <w:rPr>
          <w:b w:val="0"/>
          <w:i/>
          <w:sz w:val="19"/>
        </w:rPr>
        <w:t>Previous tools considered: [e.g., KnowBe4 / Proofpoint SAT / Tenable ASM / manual toolchaining]</w:t>
      </w:r>
    </w:p>
    <w:p>
      <w:pPr>
        <w:spacing w:after="80" w:before="0"/>
      </w:pPr>
      <w:r>
        <w:rPr>
          <w:b w:val="0"/>
          <w:i/>
          <w:color w:val="B44646"/>
          <w:sz w:val="19"/>
        </w:rPr>
        <w:t>"[Optional customer quote describing the problem in their words.]"</w:t>
        <w:br/>
        <w:t>— [Name], [Title], [Customer Name]</w:t>
      </w:r>
    </w:p>
    <w:p>
      <w:pPr>
        <w:spacing w:after="80" w:before="160"/>
      </w:pPr>
      <w:r>
        <w:rPr>
          <w:b/>
          <w:i w:val="0"/>
          <w:color w:val="1B3A5C"/>
          <w:sz w:val="22"/>
        </w:rPr>
        <w:t>HOW HAILBYTES SOLVED IT</w:t>
      </w:r>
    </w:p>
    <w:p>
      <w:pPr>
        <w:spacing w:after="80" w:before="0"/>
      </w:pPr>
      <w:r>
        <w:rPr>
          <w:b w:val="0"/>
          <w:i/>
          <w:color w:val="B44646"/>
          <w:sz w:val="19"/>
        </w:rPr>
        <w:t>[Customer Name] deployed [products] from Azure Marketplace in [timeframe]. [Describe deployment approach, key configuration decisions, and integration work.]</w:t>
      </w:r>
    </w:p>
    <w:p>
      <w:pPr>
        <w:spacing w:after="40" w:before="80"/>
      </w:pPr>
      <w:r>
        <w:rPr>
          <w:b/>
          <w:i w:val="0"/>
          <w:sz w:val="20"/>
        </w:rPr>
        <w:t>Phase 1: [e.g., Attack Surface Baseline]</w:t>
      </w:r>
    </w:p>
    <w:p>
      <w:pPr>
        <w:spacing w:after="80" w:before="0"/>
      </w:pPr>
      <w:r>
        <w:rPr>
          <w:b w:val="0"/>
          <w:i/>
          <w:color w:val="B44646"/>
          <w:sz w:val="19"/>
        </w:rPr>
        <w:t>[Describe what was deployed and what it revealed — e.g., reNgine Cloud ran a full scan across N domains and surfaced previously unknown subdomains, open ports, and critical findings.]</w:t>
      </w:r>
    </w:p>
    <w:p>
      <w:pPr>
        <w:spacing w:after="40" w:before="80"/>
      </w:pPr>
      <w:r>
        <w:rPr>
          <w:b/>
          <w:i w:val="0"/>
          <w:sz w:val="20"/>
        </w:rPr>
        <w:t>Phase 2: [e.g., Phishing Simulation Launch]</w:t>
      </w:r>
    </w:p>
    <w:p>
      <w:pPr>
        <w:spacing w:after="80" w:before="0"/>
      </w:pPr>
      <w:r>
        <w:rPr>
          <w:b w:val="0"/>
          <w:i/>
          <w:color w:val="B44646"/>
          <w:sz w:val="19"/>
        </w:rPr>
        <w:t>[Describe the SAT deployment — e.g., GoPhish Cloud configured in two hours, Entra ID SSO connected, first campaign launched.]</w:t>
      </w:r>
    </w:p>
    <w:p>
      <w:pPr>
        <w:spacing w:after="40" w:before="80"/>
      </w:pPr>
      <w:r>
        <w:rPr>
          <w:b/>
          <w:i w:val="0"/>
          <w:sz w:val="20"/>
        </w:rPr>
        <w:t>Phase 3: [e.g., Continuous Operations]</w:t>
      </w:r>
    </w:p>
    <w:p>
      <w:pPr>
        <w:spacing w:after="80" w:before="0"/>
      </w:pPr>
      <w:r>
        <w:rPr>
          <w:b w:val="0"/>
          <w:i/>
          <w:color w:val="B44646"/>
          <w:sz w:val="19"/>
        </w:rPr>
        <w:t>[Describe the ongoing workflow — e.g., scheduled scans with Teams alerts; monthly phishing campaigns with targeted re-training.]</w:t>
      </w:r>
    </w:p>
    <w:p>
      <w:pPr>
        <w:spacing w:after="80" w:before="0"/>
      </w:pPr>
      <w:r>
        <w:rPr>
          <w:b w:val="0"/>
          <w:i/>
          <w:color w:val="B44646"/>
          <w:sz w:val="19"/>
        </w:rPr>
        <w:t>"[Optional customer quote describing the solution experience.]"</w:t>
        <w:br/>
        <w:t>— [Name], [Title], [Customer Name]</w:t>
      </w:r>
    </w:p>
    <w:p>
      <w:pPr>
        <w:spacing w:after="80" w:before="160"/>
      </w:pPr>
      <w:r>
        <w:rPr>
          <w:b/>
          <w:i w:val="0"/>
          <w:color w:val="1B3A5C"/>
          <w:sz w:val="22"/>
        </w:rPr>
        <w:t>RESULTS &amp; METRICS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436"/>
        <w:gridCol w:w="2436"/>
        <w:gridCol w:w="2436"/>
        <w:gridCol w:w="2436"/>
      </w:tblGrid>
      <w:tr>
        <w:tc>
          <w:tcPr>
            <w:tcW w:type="dxa" w:w="2436"/>
            <w:shd w:fill="1B3A5C" w:val="clear"/>
          </w:tcPr>
          <w:p>
            <w:r/>
            <w:r>
              <w:rPr>
                <w:b/>
                <w:color w:val="FFFFFF"/>
                <w:sz w:val="18"/>
              </w:rPr>
              <w:t>Metric</w:t>
            </w:r>
          </w:p>
        </w:tc>
        <w:tc>
          <w:tcPr>
            <w:tcW w:type="dxa" w:w="2436"/>
            <w:shd w:fill="1B3A5C" w:val="clear"/>
          </w:tcPr>
          <w:p>
            <w:r/>
            <w:r>
              <w:rPr>
                <w:b/>
                <w:color w:val="FFFFFF"/>
                <w:sz w:val="18"/>
              </w:rPr>
              <w:t>Before</w:t>
            </w:r>
          </w:p>
        </w:tc>
        <w:tc>
          <w:tcPr>
            <w:tcW w:type="dxa" w:w="2436"/>
            <w:shd w:fill="1B3A5C" w:val="clear"/>
          </w:tcPr>
          <w:p>
            <w:r/>
            <w:r>
              <w:rPr>
                <w:b/>
                <w:color w:val="FFFFFF"/>
                <w:sz w:val="18"/>
              </w:rPr>
              <w:t>After</w:t>
            </w:r>
          </w:p>
        </w:tc>
        <w:tc>
          <w:tcPr>
            <w:tcW w:type="dxa" w:w="2436"/>
            <w:shd w:fill="1B3A5C" w:val="clear"/>
          </w:tcPr>
          <w:p>
            <w:r/>
            <w:r>
              <w:rPr>
                <w:b/>
                <w:color w:val="FFFFFF"/>
                <w:sz w:val="18"/>
              </w:rPr>
              <w:t>Timeframe</w:t>
            </w:r>
          </w:p>
        </w:tc>
      </w:tr>
      <w:tr>
        <w:tc>
          <w:tcPr>
            <w:tcW w:type="dxa" w:w="2436"/>
          </w:tcPr>
          <w:p>
            <w:r/>
            <w:r>
              <w:rPr>
                <w:sz w:val="18"/>
              </w:rPr>
              <w:t>Phishing click rate</w:t>
            </w:r>
          </w:p>
        </w:tc>
        <w:tc>
          <w:tcPr>
            <w:tcW w:type="dxa" w:w="2436"/>
          </w:tcPr>
          <w:p>
            <w:r/>
            <w:r>
              <w:rPr>
                <w:sz w:val="18"/>
              </w:rPr>
              <w:t>[e.g., 28%]</w:t>
            </w:r>
          </w:p>
        </w:tc>
        <w:tc>
          <w:tcPr>
            <w:tcW w:type="dxa" w:w="2436"/>
          </w:tcPr>
          <w:p>
            <w:r/>
            <w:r>
              <w:rPr>
                <w:sz w:val="18"/>
              </w:rPr>
              <w:t>[e.g., 7%]</w:t>
            </w:r>
          </w:p>
        </w:tc>
        <w:tc>
          <w:tcPr>
            <w:tcW w:type="dxa" w:w="2436"/>
          </w:tcPr>
          <w:p>
            <w:r/>
            <w:r>
              <w:rPr>
                <w:sz w:val="18"/>
              </w:rPr>
              <w:t>[e.g., 6 months]</w:t>
            </w:r>
          </w:p>
        </w:tc>
      </w:tr>
      <w:tr>
        <w:tc>
          <w:tcPr>
            <w:tcW w:type="dxa" w:w="2436"/>
            <w:shd w:fill="EDF2F7" w:val="clear"/>
          </w:tcPr>
          <w:p>
            <w:r/>
            <w:r>
              <w:rPr>
                <w:sz w:val="18"/>
              </w:rPr>
              <w:t>Mean time to detect new exposed assets</w:t>
            </w:r>
          </w:p>
        </w:tc>
        <w:tc>
          <w:tcPr>
            <w:tcW w:type="dxa" w:w="2436"/>
            <w:shd w:fill="EDF2F7" w:val="clear"/>
          </w:tcPr>
          <w:p>
            <w:r/>
            <w:r>
              <w:rPr>
                <w:sz w:val="18"/>
              </w:rPr>
              <w:t>[e.g., Quarterly manual review]</w:t>
            </w:r>
          </w:p>
        </w:tc>
        <w:tc>
          <w:tcPr>
            <w:tcW w:type="dxa" w:w="2436"/>
            <w:shd w:fill="EDF2F7" w:val="clear"/>
          </w:tcPr>
          <w:p>
            <w:r/>
            <w:r>
              <w:rPr>
                <w:sz w:val="18"/>
              </w:rPr>
              <w:t>[e.g., 48 hours]</w:t>
            </w:r>
          </w:p>
        </w:tc>
        <w:tc>
          <w:tcPr>
            <w:tcW w:type="dxa" w:w="2436"/>
            <w:shd w:fill="EDF2F7" w:val="clear"/>
          </w:tcPr>
          <w:p>
            <w:r/>
            <w:r>
              <w:rPr>
                <w:sz w:val="18"/>
              </w:rPr>
              <w:t>[Ongoing]</w:t>
            </w:r>
          </w:p>
        </w:tc>
      </w:tr>
      <w:tr>
        <w:tc>
          <w:tcPr>
            <w:tcW w:type="dxa" w:w="2436"/>
          </w:tcPr>
          <w:p>
            <w:r/>
            <w:r>
              <w:rPr>
                <w:sz w:val="18"/>
              </w:rPr>
              <w:t>Critical/high vulns outstanding</w:t>
            </w:r>
          </w:p>
        </w:tc>
        <w:tc>
          <w:tcPr>
            <w:tcW w:type="dxa" w:w="2436"/>
          </w:tcPr>
          <w:p>
            <w:r/>
            <w:r>
              <w:rPr>
                <w:sz w:val="18"/>
              </w:rPr>
              <w:t>[e.g., Unknown]</w:t>
            </w:r>
          </w:p>
        </w:tc>
        <w:tc>
          <w:tcPr>
            <w:tcW w:type="dxa" w:w="2436"/>
          </w:tcPr>
          <w:p>
            <w:r/>
            <w:r>
              <w:rPr>
                <w:sz w:val="18"/>
              </w:rPr>
              <w:t>[e.g., Reduced by 64%]</w:t>
            </w:r>
          </w:p>
        </w:tc>
        <w:tc>
          <w:tcPr>
            <w:tcW w:type="dxa" w:w="2436"/>
          </w:tcPr>
          <w:p>
            <w:r/>
            <w:r>
              <w:rPr>
                <w:sz w:val="18"/>
              </w:rPr>
              <w:t>[90 days]</w:t>
            </w:r>
          </w:p>
        </w:tc>
      </w:tr>
      <w:tr>
        <w:tc>
          <w:tcPr>
            <w:tcW w:type="dxa" w:w="2436"/>
            <w:shd w:fill="EDF2F7" w:val="clear"/>
          </w:tcPr>
          <w:p>
            <w:r/>
            <w:r>
              <w:rPr>
                <w:sz w:val="18"/>
              </w:rPr>
              <w:t>SAT program annual cost</w:t>
            </w:r>
          </w:p>
        </w:tc>
        <w:tc>
          <w:tcPr>
            <w:tcW w:type="dxa" w:w="2436"/>
            <w:shd w:fill="EDF2F7" w:val="clear"/>
          </w:tcPr>
          <w:p>
            <w:r/>
            <w:r>
              <w:rPr>
                <w:sz w:val="18"/>
              </w:rPr>
              <w:t>[e.g., $38,000/year]</w:t>
            </w:r>
          </w:p>
        </w:tc>
        <w:tc>
          <w:tcPr>
            <w:tcW w:type="dxa" w:w="2436"/>
            <w:shd w:fill="EDF2F7" w:val="clear"/>
          </w:tcPr>
          <w:p>
            <w:r/>
            <w:r>
              <w:rPr>
                <w:sz w:val="18"/>
              </w:rPr>
              <w:t>[e.g., ~$4,800/year]</w:t>
            </w:r>
          </w:p>
        </w:tc>
        <w:tc>
          <w:tcPr>
            <w:tcW w:type="dxa" w:w="2436"/>
            <w:shd w:fill="EDF2F7" w:val="clear"/>
          </w:tcPr>
          <w:p>
            <w:r/>
            <w:r>
              <w:rPr>
                <w:sz w:val="18"/>
              </w:rPr>
              <w:t>—</w:t>
            </w:r>
          </w:p>
        </w:tc>
      </w:tr>
      <w:tr>
        <w:tc>
          <w:tcPr>
            <w:tcW w:type="dxa" w:w="2436"/>
          </w:tcPr>
          <w:p>
            <w:r/>
            <w:r>
              <w:rPr>
                <w:sz w:val="18"/>
              </w:rPr>
              <w:t>Support ticket response time</w:t>
            </w:r>
          </w:p>
        </w:tc>
        <w:tc>
          <w:tcPr>
            <w:tcW w:type="dxa" w:w="2436"/>
          </w:tcPr>
          <w:p>
            <w:r/>
            <w:r>
              <w:rPr>
                <w:sz w:val="18"/>
              </w:rPr>
              <w:t>[e.g., 5+ business days]</w:t>
            </w:r>
          </w:p>
        </w:tc>
        <w:tc>
          <w:tcPr>
            <w:tcW w:type="dxa" w:w="2436"/>
          </w:tcPr>
          <w:p>
            <w:r/>
            <w:r>
              <w:rPr>
                <w:sz w:val="18"/>
              </w:rPr>
              <w:t>[e.g., &lt;24 hours]</w:t>
            </w:r>
          </w:p>
        </w:tc>
        <w:tc>
          <w:tcPr>
            <w:tcW w:type="dxa" w:w="2436"/>
          </w:tcPr>
          <w:p>
            <w:r/>
            <w:r>
              <w:rPr>
                <w:sz w:val="18"/>
              </w:rPr>
              <w:t>—</w:t>
            </w:r>
          </w:p>
        </w:tc>
      </w:tr>
      <w:tr>
        <w:tc>
          <w:tcPr>
            <w:tcW w:type="dxa" w:w="2436"/>
            <w:shd w:fill="EDF2F7" w:val="clear"/>
          </w:tcPr>
          <w:p>
            <w:r/>
            <w:r>
              <w:rPr>
                <w:sz w:val="18"/>
              </w:rPr>
              <w:t>[Custom metric]</w:t>
            </w:r>
          </w:p>
        </w:tc>
        <w:tc>
          <w:tcPr>
            <w:tcW w:type="dxa" w:w="2436"/>
            <w:shd w:fill="EDF2F7" w:val="clear"/>
          </w:tcPr>
          <w:p>
            <w:r/>
            <w:r>
              <w:rPr>
                <w:sz w:val="18"/>
              </w:rPr>
              <w:t>[Baseline]</w:t>
            </w:r>
          </w:p>
        </w:tc>
        <w:tc>
          <w:tcPr>
            <w:tcW w:type="dxa" w:w="2436"/>
            <w:shd w:fill="EDF2F7" w:val="clear"/>
          </w:tcPr>
          <w:p>
            <w:r/>
            <w:r>
              <w:rPr>
                <w:sz w:val="18"/>
              </w:rPr>
              <w:t>[Result]</w:t>
            </w:r>
          </w:p>
        </w:tc>
        <w:tc>
          <w:tcPr>
            <w:tcW w:type="dxa" w:w="2436"/>
            <w:shd w:fill="EDF2F7" w:val="clear"/>
          </w:tcPr>
          <w:p>
            <w:r/>
            <w:r>
              <w:rPr>
                <w:sz w:val="18"/>
              </w:rPr>
              <w:t>[Timeframe]</w:t>
            </w:r>
          </w:p>
        </w:tc>
      </w:tr>
    </w:tbl>
    <w:p/>
    <w:p>
      <w:pPr>
        <w:spacing w:after="80" w:before="120"/>
      </w:pPr>
      <w:r>
        <w:rPr>
          <w:b/>
          <w:i w:val="0"/>
          <w:color w:val="1B3A5C"/>
          <w:sz w:val="22"/>
        </w:rPr>
        <w:t>WHAT'S NEXT</w:t>
      </w:r>
    </w:p>
    <w:p>
      <w:pPr>
        <w:spacing w:after="80" w:before="0"/>
      </w:pPr>
      <w:r>
        <w:rPr>
          <w:b w:val="0"/>
          <w:i/>
          <w:color w:val="B44646"/>
          <w:sz w:val="19"/>
        </w:rPr>
        <w:t>[Customer Name] is [describe future plans — e.g., expanding monitoring to acquired subsidiaries, integrating with SIEM.]</w:t>
      </w:r>
    </w:p>
    <w:p>
      <w:pPr>
        <w:spacing w:after="80" w:before="120"/>
        <w:jc w:val="center"/>
      </w:pPr>
      <w:r>
        <w:rPr>
          <w:b/>
          <w:i w:val="0"/>
          <w:color w:val="1B3A5C"/>
          <w:sz w:val="20"/>
        </w:rPr>
        <w:t>Interested in a similar deployment? Request a demo at hailbytes.com or deploy a free trial from Azure Marketplace.</w:t>
      </w:r>
    </w:p>
    <w:p>
      <w:r>
        <w:br w:type="page"/>
      </w:r>
    </w:p>
    <w:p>
      <w:pPr>
        <w:spacing w:after="0" w:before="0"/>
      </w:pPr>
      <w:r>
        <w:rPr>
          <w:b/>
          <w:i w:val="0"/>
          <w:color w:val="646464"/>
          <w:sz w:val="18"/>
        </w:rPr>
        <w:t>COMPOSITE EXAMPLE</w:t>
      </w:r>
    </w:p>
    <w:p>
      <w:pPr>
        <w:spacing w:after="40" w:before="0"/>
      </w:pPr>
      <w:r>
        <w:rPr>
          <w:b/>
          <w:i w:val="0"/>
          <w:color w:val="1B3A5C"/>
          <w:sz w:val="32"/>
        </w:rPr>
        <w:t>Sentinel Manufacturing Group</w:t>
      </w:r>
    </w:p>
    <w:p>
      <w:pPr>
        <w:spacing w:after="160" w:before="0"/>
      </w:pPr>
      <w:r>
        <w:rPr>
          <w:b w:val="0"/>
          <w:i/>
          <w:color w:val="646464"/>
          <w:sz w:val="20"/>
        </w:rPr>
        <w:t>How a mid-market manufacturer cut SAT costs by 80% and gained continuous attack surface visibility</w:t>
      </w:r>
    </w:p>
    <w:p>
      <w:pPr>
        <w:spacing w:after="80" w:before="80"/>
      </w:pPr>
      <w:r>
        <w:rPr>
          <w:b/>
          <w:i w:val="0"/>
          <w:color w:val="1B3A5C"/>
          <w:sz w:val="22"/>
        </w:rPr>
        <w:t>CUSTOMER PROFILE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873"/>
        <w:gridCol w:w="4873"/>
      </w:tblGrid>
      <w:tr>
        <w:tc>
          <w:tcPr>
            <w:tcW w:type="dxa" w:w="4873"/>
            <w:shd w:fill="1B3A5C" w:val="clear"/>
          </w:tcPr>
          <w:p>
            <w:r/>
            <w:r>
              <w:rPr>
                <w:b/>
                <w:color w:val="FFFFFF"/>
                <w:sz w:val="18"/>
              </w:rPr>
              <w:t>Field</w:t>
            </w:r>
          </w:p>
        </w:tc>
        <w:tc>
          <w:tcPr>
            <w:tcW w:type="dxa" w:w="4873"/>
            <w:shd w:fill="1B3A5C" w:val="clear"/>
          </w:tcPr>
          <w:p>
            <w:r/>
            <w:r>
              <w:rPr>
                <w:b/>
                <w:color w:val="FFFFFF"/>
                <w:sz w:val="18"/>
              </w:rPr>
              <w:t>Details</w:t>
            </w:r>
          </w:p>
        </w:tc>
      </w:tr>
      <w:tr>
        <w:tc>
          <w:tcPr>
            <w:tcW w:type="dxa" w:w="4873"/>
          </w:tcPr>
          <w:p>
            <w:r/>
            <w:r>
              <w:rPr>
                <w:sz w:val="18"/>
              </w:rPr>
              <w:t>Company</w:t>
            </w:r>
          </w:p>
        </w:tc>
        <w:tc>
          <w:tcPr>
            <w:tcW w:type="dxa" w:w="4873"/>
          </w:tcPr>
          <w:p>
            <w:r/>
            <w:r>
              <w:rPr>
                <w:sz w:val="18"/>
              </w:rPr>
              <w:t>Sentinel Manufacturing Group (composite example)</w:t>
            </w:r>
          </w:p>
        </w:tc>
      </w:tr>
      <w:tr>
        <w:tc>
          <w:tcPr>
            <w:tcW w:type="dxa" w:w="4873"/>
            <w:shd w:fill="EDF2F7" w:val="clear"/>
          </w:tcPr>
          <w:p>
            <w:r/>
            <w:r>
              <w:rPr>
                <w:sz w:val="18"/>
              </w:rPr>
              <w:t>Industry</w:t>
            </w:r>
          </w:p>
        </w:tc>
        <w:tc>
          <w:tcPr>
            <w:tcW w:type="dxa" w:w="4873"/>
            <w:shd w:fill="EDF2F7" w:val="clear"/>
          </w:tcPr>
          <w:p>
            <w:r/>
            <w:r>
              <w:rPr>
                <w:sz w:val="18"/>
              </w:rPr>
              <w:t>Industrial Manufacturing</w:t>
            </w:r>
          </w:p>
        </w:tc>
      </w:tr>
      <w:tr>
        <w:tc>
          <w:tcPr>
            <w:tcW w:type="dxa" w:w="4873"/>
          </w:tcPr>
          <w:p>
            <w:r/>
            <w:r>
              <w:rPr>
                <w:sz w:val="18"/>
              </w:rPr>
              <w:t>Size</w:t>
            </w:r>
          </w:p>
        </w:tc>
        <w:tc>
          <w:tcPr>
            <w:tcW w:type="dxa" w:w="4873"/>
          </w:tcPr>
          <w:p>
            <w:r/>
            <w:r>
              <w:rPr>
                <w:sz w:val="18"/>
              </w:rPr>
              <w:t>1,200 employees, 4 facilities across 2 countries</w:t>
            </w:r>
          </w:p>
        </w:tc>
      </w:tr>
      <w:tr>
        <w:tc>
          <w:tcPr>
            <w:tcW w:type="dxa" w:w="4873"/>
            <w:shd w:fill="EDF2F7" w:val="clear"/>
          </w:tcPr>
          <w:p>
            <w:r/>
            <w:r>
              <w:rPr>
                <w:sz w:val="18"/>
              </w:rPr>
              <w:t>Azure Relationship</w:t>
            </w:r>
          </w:p>
        </w:tc>
        <w:tc>
          <w:tcPr>
            <w:tcW w:type="dxa" w:w="4873"/>
            <w:shd w:fill="EDF2F7" w:val="clear"/>
          </w:tcPr>
          <w:p>
            <w:r/>
            <w:r>
              <w:rPr>
                <w:sz w:val="18"/>
              </w:rPr>
              <w:t>Azure EA customer; Microsoft 365 E3 with Entra ID P1</w:t>
            </w:r>
          </w:p>
        </w:tc>
      </w:tr>
      <w:tr>
        <w:tc>
          <w:tcPr>
            <w:tcW w:type="dxa" w:w="4873"/>
          </w:tcPr>
          <w:p>
            <w:r/>
            <w:r>
              <w:rPr>
                <w:sz w:val="18"/>
              </w:rPr>
              <w:t>Products Deployed</w:t>
            </w:r>
          </w:p>
        </w:tc>
        <w:tc>
          <w:tcPr>
            <w:tcW w:type="dxa" w:w="4873"/>
          </w:tcPr>
          <w:p>
            <w:r/>
            <w:r>
              <w:rPr>
                <w:sz w:val="18"/>
              </w:rPr>
              <w:t>GoPhish Cloud + reNgine Cloud + Cloud Support Hub (Enterprise)</w:t>
            </w:r>
          </w:p>
        </w:tc>
      </w:tr>
    </w:tbl>
    <w:p/>
    <w:p>
      <w:pPr>
        <w:spacing w:after="80" w:before="80"/>
      </w:pPr>
      <w:r>
        <w:rPr>
          <w:b/>
          <w:i w:val="0"/>
          <w:color w:val="1B3A5C"/>
          <w:sz w:val="22"/>
        </w:rPr>
        <w:t>THE CHALLENGE</w:t>
      </w:r>
    </w:p>
    <w:p>
      <w:pPr>
        <w:spacing w:after="80" w:before="0"/>
      </w:pPr>
      <w:r>
        <w:rPr>
          <w:b w:val="0"/>
          <w:i w:val="0"/>
          <w:sz w:val="19"/>
        </w:rPr>
        <w:t>Sentinel's IT Security team of three was running annual phishing simulations using a $32,000/year enterprise SAT platform — but leadership couldn't justify the renewal cost after a merger left the company with 400 net-new employees and two new IT domains to absorb. Simultaneously, the team had no visibility into what the acquired companies' external attack surfaces looked like.</w:t>
      </w:r>
    </w:p>
    <w:p>
      <w:pPr>
        <w:pStyle w:val="ListBullet"/>
        <w:spacing w:after="40"/>
      </w:pPr>
      <w:r>
        <w:rPr>
          <w:sz w:val="19"/>
        </w:rPr>
        <w:t>$32,000/year SAT platform with 1,200 per-seat licenses and no data portability</w:t>
      </w:r>
    </w:p>
    <w:p>
      <w:pPr>
        <w:pStyle w:val="ListBullet"/>
        <w:spacing w:after="40"/>
      </w:pPr>
      <w:r>
        <w:rPr>
          <w:sz w:val="19"/>
        </w:rPr>
        <w:t>Zero continuous external attack surface monitoring across merged entities</w:t>
      </w:r>
    </w:p>
    <w:p>
      <w:pPr>
        <w:pStyle w:val="ListBullet"/>
        <w:spacing w:after="40"/>
      </w:pPr>
      <w:r>
        <w:rPr>
          <w:sz w:val="19"/>
        </w:rPr>
        <w:t>SOC 2 Type II readiness requirement: documented phishing simulation cadence needed</w:t>
      </w:r>
    </w:p>
    <w:p>
      <w:pPr>
        <w:pStyle w:val="ListBullet"/>
        <w:spacing w:after="40"/>
      </w:pPr>
      <w:r>
        <w:rPr>
          <w:sz w:val="19"/>
        </w:rPr>
        <w:t>No budget for a net-new SIEM or ASM platform</w:t>
      </w:r>
    </w:p>
    <w:p>
      <w:pPr>
        <w:spacing w:after="80" w:before="160"/>
      </w:pPr>
      <w:r>
        <w:rPr>
          <w:b/>
          <w:i w:val="0"/>
          <w:color w:val="1B3A5C"/>
          <w:sz w:val="22"/>
        </w:rPr>
        <w:t>HOW HAILBYTES SOLVED IT</w:t>
      </w:r>
    </w:p>
    <w:p>
      <w:pPr>
        <w:spacing w:after="80" w:before="0"/>
      </w:pPr>
      <w:r>
        <w:rPr>
          <w:b w:val="0"/>
          <w:i w:val="0"/>
          <w:sz w:val="19"/>
        </w:rPr>
        <w:t>The security team deployed both GoPhish Cloud and reNgine Cloud from Azure Marketplace on a Friday afternoon. Both VMs were running by end of day.</w:t>
      </w:r>
    </w:p>
    <w:p>
      <w:pPr>
        <w:spacing w:after="40" w:before="80"/>
      </w:pPr>
      <w:r>
        <w:rPr>
          <w:b/>
          <w:i w:val="0"/>
          <w:sz w:val="19"/>
        </w:rPr>
        <w:t>Week 1 — Attack Surface Baseline (reNgine Cloud, Standard_D4s_v3):</w:t>
      </w:r>
    </w:p>
    <w:p>
      <w:pPr>
        <w:spacing w:after="80" w:before="0"/>
      </w:pPr>
      <w:r>
        <w:rPr>
          <w:b w:val="0"/>
          <w:i w:val="0"/>
          <w:sz w:val="19"/>
        </w:rPr>
        <w:t>A full scan across 6 domains (3 legacy Sentinel, 3 acquired) surfaced 89 previously undocumented subdomains, 18 open management interfaces, and 5 critical Nuclei findings including an exposed Jenkins instance. Weekly scheduled scans configured with Microsoft Teams alerts. Total reNgine Cloud cost: ~$420/month.</w:t>
      </w:r>
    </w:p>
    <w:p>
      <w:pPr>
        <w:spacing w:after="40" w:before="80"/>
      </w:pPr>
      <w:r>
        <w:rPr>
          <w:b/>
          <w:i w:val="0"/>
          <w:sz w:val="19"/>
        </w:rPr>
        <w:t>Week 2 — Phishing Program Launch (GoPhish Cloud, Standard_D2s_v3):</w:t>
      </w:r>
    </w:p>
    <w:p>
      <w:pPr>
        <w:spacing w:after="80" w:before="0"/>
      </w:pPr>
      <w:r>
        <w:rPr>
          <w:b w:val="0"/>
          <w:i w:val="0"/>
          <w:sz w:val="19"/>
        </w:rPr>
        <w:t>Entra ID SSO connected in 25 minutes. 1,200 employees imported via CSV. First campaign — credential-harvesting simulation impersonating an internal IT password reset — launched on day 10. Initial click rate: 31%. Total GoPhish Cloud cost: ~$145/month.</w:t>
      </w:r>
    </w:p>
    <w:p>
      <w:pPr>
        <w:spacing w:after="40" w:before="80"/>
      </w:pPr>
      <w:r>
        <w:rPr>
          <w:b/>
          <w:i w:val="0"/>
          <w:sz w:val="19"/>
        </w:rPr>
        <w:t>Ongoing — Enterprise Support (Cloud Support Hub):</w:t>
      </w:r>
    </w:p>
    <w:p>
      <w:pPr>
        <w:spacing w:after="120" w:before="0"/>
      </w:pPr>
      <w:r>
        <w:rPr>
          <w:b w:val="0"/>
          <w:i w:val="0"/>
          <w:sz w:val="19"/>
        </w:rPr>
        <w:t>Enterprise support for the first 90 days to handle Splunk SIEM integration for GoPhish webhook events and reNgine API output. Dedicated engineer delivered custom Splunk dashboards in 3 sessions.</w:t>
      </w:r>
    </w:p>
    <w:p>
      <w:pPr>
        <w:spacing w:after="80" w:before="120"/>
      </w:pPr>
      <w:r>
        <w:rPr>
          <w:b/>
          <w:i w:val="0"/>
          <w:color w:val="1B3A5C"/>
          <w:sz w:val="22"/>
        </w:rPr>
        <w:t>RESULTS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436"/>
        <w:gridCol w:w="2436"/>
        <w:gridCol w:w="2436"/>
        <w:gridCol w:w="2436"/>
      </w:tblGrid>
      <w:tr>
        <w:tc>
          <w:tcPr>
            <w:tcW w:type="dxa" w:w="2436"/>
            <w:shd w:fill="1B3A5C" w:val="clear"/>
          </w:tcPr>
          <w:p>
            <w:r/>
            <w:r>
              <w:rPr>
                <w:b/>
                <w:color w:val="FFFFFF"/>
                <w:sz w:val="18"/>
              </w:rPr>
              <w:t>Metric</w:t>
            </w:r>
          </w:p>
        </w:tc>
        <w:tc>
          <w:tcPr>
            <w:tcW w:type="dxa" w:w="2436"/>
            <w:shd w:fill="1B3A5C" w:val="clear"/>
          </w:tcPr>
          <w:p>
            <w:r/>
            <w:r>
              <w:rPr>
                <w:b/>
                <w:color w:val="FFFFFF"/>
                <w:sz w:val="18"/>
              </w:rPr>
              <w:t>Before</w:t>
            </w:r>
          </w:p>
        </w:tc>
        <w:tc>
          <w:tcPr>
            <w:tcW w:type="dxa" w:w="2436"/>
            <w:shd w:fill="1B3A5C" w:val="clear"/>
          </w:tcPr>
          <w:p>
            <w:r/>
            <w:r>
              <w:rPr>
                <w:b/>
                <w:color w:val="FFFFFF"/>
                <w:sz w:val="18"/>
              </w:rPr>
              <w:t>After</w:t>
            </w:r>
          </w:p>
        </w:tc>
        <w:tc>
          <w:tcPr>
            <w:tcW w:type="dxa" w:w="2436"/>
            <w:shd w:fill="1B3A5C" w:val="clear"/>
          </w:tcPr>
          <w:p>
            <w:r/>
            <w:r>
              <w:rPr>
                <w:b/>
                <w:color w:val="FFFFFF"/>
                <w:sz w:val="18"/>
              </w:rPr>
              <w:t>Timeframe</w:t>
            </w:r>
          </w:p>
        </w:tc>
      </w:tr>
      <w:tr>
        <w:tc>
          <w:tcPr>
            <w:tcW w:type="dxa" w:w="2436"/>
          </w:tcPr>
          <w:p>
            <w:r/>
            <w:r>
              <w:rPr>
                <w:sz w:val="18"/>
              </w:rPr>
              <w:t>Phishing click rate</w:t>
            </w:r>
          </w:p>
        </w:tc>
        <w:tc>
          <w:tcPr>
            <w:tcW w:type="dxa" w:w="2436"/>
          </w:tcPr>
          <w:p>
            <w:r/>
            <w:r>
              <w:rPr>
                <w:sz w:val="18"/>
              </w:rPr>
              <w:t>31% (baseline)</w:t>
            </w:r>
          </w:p>
        </w:tc>
        <w:tc>
          <w:tcPr>
            <w:tcW w:type="dxa" w:w="2436"/>
          </w:tcPr>
          <w:p>
            <w:r/>
            <w:r>
              <w:rPr>
                <w:sz w:val="18"/>
              </w:rPr>
              <w:t>9%</w:t>
            </w:r>
          </w:p>
        </w:tc>
        <w:tc>
          <w:tcPr>
            <w:tcW w:type="dxa" w:w="2436"/>
          </w:tcPr>
          <w:p>
            <w:r/>
            <w:r>
              <w:rPr>
                <w:sz w:val="18"/>
              </w:rPr>
              <w:t>6 months</w:t>
            </w:r>
          </w:p>
        </w:tc>
      </w:tr>
      <w:tr>
        <w:tc>
          <w:tcPr>
            <w:tcW w:type="dxa" w:w="2436"/>
            <w:shd w:fill="EDF2F7" w:val="clear"/>
          </w:tcPr>
          <w:p>
            <w:r/>
            <w:r>
              <w:rPr>
                <w:sz w:val="18"/>
              </w:rPr>
              <w:t>External attack surface visibility</w:t>
            </w:r>
          </w:p>
        </w:tc>
        <w:tc>
          <w:tcPr>
            <w:tcW w:type="dxa" w:w="2436"/>
            <w:shd w:fill="EDF2F7" w:val="clear"/>
          </w:tcPr>
          <w:p>
            <w:r/>
            <w:r>
              <w:rPr>
                <w:sz w:val="18"/>
              </w:rPr>
              <w:t>Quarterly pen test only</w:t>
            </w:r>
          </w:p>
        </w:tc>
        <w:tc>
          <w:tcPr>
            <w:tcW w:type="dxa" w:w="2436"/>
            <w:shd w:fill="EDF2F7" w:val="clear"/>
          </w:tcPr>
          <w:p>
            <w:r/>
            <w:r>
              <w:rPr>
                <w:sz w:val="18"/>
              </w:rPr>
              <w:t>Weekly automated scan</w:t>
            </w:r>
          </w:p>
        </w:tc>
        <w:tc>
          <w:tcPr>
            <w:tcW w:type="dxa" w:w="2436"/>
            <w:shd w:fill="EDF2F7" w:val="clear"/>
          </w:tcPr>
          <w:p>
            <w:r/>
            <w:r>
              <w:rPr>
                <w:sz w:val="18"/>
              </w:rPr>
              <w:t>Ongoing</w:t>
            </w:r>
          </w:p>
        </w:tc>
      </w:tr>
      <w:tr>
        <w:tc>
          <w:tcPr>
            <w:tcW w:type="dxa" w:w="2436"/>
          </w:tcPr>
          <w:p>
            <w:r/>
            <w:r>
              <w:rPr>
                <w:sz w:val="18"/>
              </w:rPr>
              <w:t>Critical/high vulnerabilities</w:t>
            </w:r>
          </w:p>
        </w:tc>
        <w:tc>
          <w:tcPr>
            <w:tcW w:type="dxa" w:w="2436"/>
          </w:tcPr>
          <w:p>
            <w:r/>
            <w:r>
              <w:rPr>
                <w:sz w:val="18"/>
              </w:rPr>
              <w:t>Unknown (5 at baseline)</w:t>
            </w:r>
          </w:p>
        </w:tc>
        <w:tc>
          <w:tcPr>
            <w:tcW w:type="dxa" w:w="2436"/>
          </w:tcPr>
          <w:p>
            <w:r/>
            <w:r>
              <w:rPr>
                <w:sz w:val="18"/>
              </w:rPr>
              <w:t>0 outstanding critical</w:t>
            </w:r>
          </w:p>
        </w:tc>
        <w:tc>
          <w:tcPr>
            <w:tcW w:type="dxa" w:w="2436"/>
          </w:tcPr>
          <w:p>
            <w:r/>
            <w:r>
              <w:rPr>
                <w:sz w:val="18"/>
              </w:rPr>
              <w:t>60 days</w:t>
            </w:r>
          </w:p>
        </w:tc>
      </w:tr>
      <w:tr>
        <w:tc>
          <w:tcPr>
            <w:tcW w:type="dxa" w:w="2436"/>
            <w:shd w:fill="EDF2F7" w:val="clear"/>
          </w:tcPr>
          <w:p>
            <w:r/>
            <w:r>
              <w:rPr>
                <w:sz w:val="18"/>
              </w:rPr>
              <w:t>SAT program annual cost</w:t>
            </w:r>
          </w:p>
        </w:tc>
        <w:tc>
          <w:tcPr>
            <w:tcW w:type="dxa" w:w="2436"/>
            <w:shd w:fill="EDF2F7" w:val="clear"/>
          </w:tcPr>
          <w:p>
            <w:r/>
            <w:r>
              <w:rPr>
                <w:sz w:val="18"/>
              </w:rPr>
              <w:t>$32,000</w:t>
            </w:r>
          </w:p>
        </w:tc>
        <w:tc>
          <w:tcPr>
            <w:tcW w:type="dxa" w:w="2436"/>
            <w:shd w:fill="EDF2F7" w:val="clear"/>
          </w:tcPr>
          <w:p>
            <w:r/>
            <w:r>
              <w:rPr>
                <w:sz w:val="18"/>
              </w:rPr>
              <w:t>~$6,540 (all-in)</w:t>
            </w:r>
          </w:p>
        </w:tc>
        <w:tc>
          <w:tcPr>
            <w:tcW w:type="dxa" w:w="2436"/>
            <w:shd w:fill="EDF2F7" w:val="clear"/>
          </w:tcPr>
          <w:p>
            <w:r/>
            <w:r>
              <w:rPr>
                <w:sz w:val="18"/>
              </w:rPr>
              <w:t>—</w:t>
            </w:r>
          </w:p>
        </w:tc>
      </w:tr>
      <w:tr>
        <w:tc>
          <w:tcPr>
            <w:tcW w:type="dxa" w:w="2436"/>
          </w:tcPr>
          <w:p>
            <w:r/>
            <w:r>
              <w:rPr>
                <w:sz w:val="18"/>
              </w:rPr>
              <w:t>Time to detect new exposed assets</w:t>
            </w:r>
          </w:p>
        </w:tc>
        <w:tc>
          <w:tcPr>
            <w:tcW w:type="dxa" w:w="2436"/>
          </w:tcPr>
          <w:p>
            <w:r/>
            <w:r>
              <w:rPr>
                <w:sz w:val="18"/>
              </w:rPr>
              <w:t>90+ days</w:t>
            </w:r>
          </w:p>
        </w:tc>
        <w:tc>
          <w:tcPr>
            <w:tcW w:type="dxa" w:w="2436"/>
          </w:tcPr>
          <w:p>
            <w:r/>
            <w:r>
              <w:rPr>
                <w:sz w:val="18"/>
              </w:rPr>
              <w:t>~48 hours</w:t>
            </w:r>
          </w:p>
        </w:tc>
        <w:tc>
          <w:tcPr>
            <w:tcW w:type="dxa" w:w="2436"/>
          </w:tcPr>
          <w:p>
            <w:r/>
            <w:r>
              <w:rPr>
                <w:sz w:val="18"/>
              </w:rPr>
              <w:t>Ongoing</w:t>
            </w:r>
          </w:p>
        </w:tc>
      </w:tr>
      <w:tr>
        <w:tc>
          <w:tcPr>
            <w:tcW w:type="dxa" w:w="2436"/>
            <w:shd w:fill="EDF2F7" w:val="clear"/>
          </w:tcPr>
          <w:p>
            <w:r/>
            <w:r>
              <w:rPr>
                <w:sz w:val="18"/>
              </w:rPr>
              <w:t>SOC 2 training documentation</w:t>
            </w:r>
          </w:p>
        </w:tc>
        <w:tc>
          <w:tcPr>
            <w:tcW w:type="dxa" w:w="2436"/>
            <w:shd w:fill="EDF2F7" w:val="clear"/>
          </w:tcPr>
          <w:p>
            <w:r/>
            <w:r>
              <w:rPr>
                <w:sz w:val="18"/>
              </w:rPr>
              <w:t>Manual, incomplete</w:t>
            </w:r>
          </w:p>
        </w:tc>
        <w:tc>
          <w:tcPr>
            <w:tcW w:type="dxa" w:w="2436"/>
            <w:shd w:fill="EDF2F7" w:val="clear"/>
          </w:tcPr>
          <w:p>
            <w:r/>
            <w:r>
              <w:rPr>
                <w:sz w:val="18"/>
              </w:rPr>
              <w:t>Automated campaign export</w:t>
            </w:r>
          </w:p>
        </w:tc>
        <w:tc>
          <w:tcPr>
            <w:tcW w:type="dxa" w:w="2436"/>
            <w:shd w:fill="EDF2F7" w:val="clear"/>
          </w:tcPr>
          <w:p>
            <w:r/>
            <w:r>
              <w:rPr>
                <w:sz w:val="18"/>
              </w:rPr>
              <w:t>Audit-ready</w:t>
            </w:r>
          </w:p>
        </w:tc>
      </w:tr>
    </w:tbl>
    <w:p>
      <w:pPr>
        <w:spacing w:after="0" w:before="160"/>
        <w:jc w:val="center"/>
      </w:pPr>
      <w:r>
        <w:rPr>
          <w:b/>
          <w:i w:val="0"/>
          <w:color w:val="1B3A5C"/>
          <w:sz w:val="18"/>
        </w:rPr>
        <w:t>sales@hailbytes.com  |  hailbytes.com  |  Azure Marketplace: search "HailBytes"</w:t>
      </w:r>
    </w:p>
    <w:sectPr w:rsidR="00FC693F" w:rsidRPr="0006063C" w:rsidSect="00034616">
      <w:pgSz w:w="12240" w:h="15840"/>
      <w:pgMar w:top="1020" w:right="1247" w:bottom="850" w:left="124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